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F0D6E" w14:textId="317BAAF1" w:rsidR="00CC475B" w:rsidRDefault="00CC475B" w:rsidP="00CC475B">
      <w:pPr>
        <w:tabs>
          <w:tab w:val="num" w:pos="720"/>
        </w:tabs>
        <w:ind w:left="1575" w:hanging="360"/>
        <w:textAlignment w:val="baseline"/>
      </w:pPr>
      <w:r>
        <w:t>WHY DO I FRAME A QUOTE LESSON 4</w:t>
      </w:r>
    </w:p>
    <w:p w14:paraId="4BC78C0D" w14:textId="77777777" w:rsidR="00CC475B" w:rsidRDefault="00CC475B" w:rsidP="00CC475B">
      <w:pPr>
        <w:pStyle w:val="NormalWeb"/>
        <w:numPr>
          <w:ilvl w:val="0"/>
          <w:numId w:val="1"/>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Use the following dimensions to evaluate the culture of a nonprofit organization with which you are familiar (your congregation, community service agency, etc.):</w:t>
      </w:r>
    </w:p>
    <w:p w14:paraId="4154A424"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 xml:space="preserve">External adaptation </w:t>
      </w:r>
      <w:proofErr w:type="gramStart"/>
      <w:r>
        <w:rPr>
          <w:rFonts w:ascii="inherit" w:hAnsi="inherit"/>
          <w:color w:val="333333"/>
          <w:sz w:val="26"/>
          <w:szCs w:val="26"/>
        </w:rPr>
        <w:t>focus</w:t>
      </w:r>
      <w:proofErr w:type="gramEnd"/>
      <w:r>
        <w:rPr>
          <w:rFonts w:ascii="inherit" w:hAnsi="inherit"/>
          <w:color w:val="333333"/>
          <w:sz w:val="26"/>
          <w:szCs w:val="26"/>
        </w:rPr>
        <w:t xml:space="preserve"> vs. internal integration focus</w:t>
      </w:r>
    </w:p>
    <w:p w14:paraId="6729D59D"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Preserving tradition vs. changing</w:t>
      </w:r>
    </w:p>
    <w:p w14:paraId="4AF4CE63"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Centralized control vs. allowing individual discretion</w:t>
      </w:r>
    </w:p>
    <w:p w14:paraId="2C9E8A73"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Task-oriented vs. relationship-oriented</w:t>
      </w:r>
    </w:p>
    <w:p w14:paraId="5932397D"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Uniformity vs. allowing for differentiation</w:t>
      </w:r>
    </w:p>
    <w:p w14:paraId="76D456D6"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Autocratic vs. democratic</w:t>
      </w:r>
    </w:p>
    <w:p w14:paraId="4B143532"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Transaction vs. transformational</w:t>
      </w:r>
    </w:p>
    <w:p w14:paraId="614996E7"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Directive vs. participative</w:t>
      </w:r>
    </w:p>
    <w:p w14:paraId="5F2F10A8" w14:textId="77777777" w:rsidR="00CC475B" w:rsidRDefault="00CC475B" w:rsidP="00CC475B">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Do you see evidence that on some of these dimensions the organization exhibits</w:t>
      </w:r>
      <w:r>
        <w:rPr>
          <w:rStyle w:val="apple-converted-space"/>
          <w:rFonts w:ascii="inherit" w:hAnsi="inherit"/>
          <w:color w:val="333333"/>
          <w:sz w:val="26"/>
          <w:szCs w:val="26"/>
        </w:rPr>
        <w:t> </w:t>
      </w:r>
      <w:r>
        <w:rPr>
          <w:rStyle w:val="emphasis"/>
          <w:rFonts w:ascii="inherit" w:hAnsi="inherit"/>
          <w:i/>
          <w:iCs/>
          <w:color w:val="333333"/>
          <w:sz w:val="26"/>
          <w:szCs w:val="26"/>
        </w:rPr>
        <w:t>both</w:t>
      </w:r>
      <w:r>
        <w:rPr>
          <w:rStyle w:val="apple-converted-space"/>
          <w:rFonts w:ascii="inherit" w:hAnsi="inherit"/>
          <w:color w:val="333333"/>
          <w:sz w:val="26"/>
          <w:szCs w:val="26"/>
        </w:rPr>
        <w:t> </w:t>
      </w:r>
      <w:r>
        <w:rPr>
          <w:rFonts w:ascii="inherit" w:hAnsi="inherit"/>
          <w:color w:val="333333"/>
          <w:sz w:val="26"/>
          <w:szCs w:val="26"/>
        </w:rPr>
        <w:t>sides? What might account for this?</w:t>
      </w:r>
    </w:p>
    <w:p w14:paraId="2B9ED6B9" w14:textId="77777777" w:rsidR="00CC475B" w:rsidRDefault="00CC475B" w:rsidP="00CC475B">
      <w:pPr>
        <w:pStyle w:val="NormalWeb"/>
        <w:numPr>
          <w:ilvl w:val="0"/>
          <w:numId w:val="1"/>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Choose a company within two miles of where you are located. Visit the company as any customer might. Record your observations based on the following questions:</w:t>
      </w:r>
    </w:p>
    <w:p w14:paraId="07A03AF2"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How are employees dressed, and what might the significance of this attire be?</w:t>
      </w:r>
    </w:p>
    <w:p w14:paraId="2902112F"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How similar are employees’ behaviors?</w:t>
      </w:r>
    </w:p>
    <w:p w14:paraId="4F5A058D"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Observe the physical setting in which work gets done. What objects do you see in this company that you don’t see in other companies? What is the significance of these objects?</w:t>
      </w:r>
    </w:p>
    <w:p w14:paraId="4B93C505"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Listen to conversations between employees and customers. What themes, stories, or ideas are repeated? What terms have special meaning inside the company? Do the company employees use terms not commonly used in society?</w:t>
      </w:r>
    </w:p>
    <w:p w14:paraId="7EFA1FA3"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Can you observe any ceremonies or rituals taking place that reflect company values?</w:t>
      </w:r>
    </w:p>
    <w:p w14:paraId="5C9CB3B6"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If you worked in this company, what things should you never do (taboos)?</w:t>
      </w:r>
    </w:p>
    <w:p w14:paraId="02A744EE"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Overall, how would you characterize this company’s culture?</w:t>
      </w:r>
    </w:p>
    <w:p w14:paraId="660C22F2"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What must this company</w:t>
      </w:r>
      <w:r>
        <w:rPr>
          <w:rStyle w:val="apple-converted-space"/>
          <w:rFonts w:ascii="inherit" w:hAnsi="inherit"/>
          <w:color w:val="333333"/>
          <w:sz w:val="26"/>
          <w:szCs w:val="26"/>
        </w:rPr>
        <w:t> </w:t>
      </w:r>
      <w:r>
        <w:rPr>
          <w:rStyle w:val="emphasis"/>
          <w:rFonts w:ascii="inherit" w:hAnsi="inherit"/>
          <w:i/>
          <w:iCs/>
          <w:color w:val="333333"/>
          <w:sz w:val="26"/>
          <w:szCs w:val="26"/>
        </w:rPr>
        <w:t>assume</w:t>
      </w:r>
      <w:r>
        <w:rPr>
          <w:rStyle w:val="apple-converted-space"/>
          <w:rFonts w:ascii="inherit" w:hAnsi="inherit"/>
          <w:color w:val="333333"/>
          <w:sz w:val="26"/>
          <w:szCs w:val="26"/>
        </w:rPr>
        <w:t> </w:t>
      </w:r>
      <w:r>
        <w:rPr>
          <w:rFonts w:ascii="inherit" w:hAnsi="inherit"/>
          <w:color w:val="333333"/>
          <w:sz w:val="26"/>
          <w:szCs w:val="26"/>
        </w:rPr>
        <w:t>to be true regarding customers?</w:t>
      </w:r>
    </w:p>
    <w:p w14:paraId="7AA57880"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 xml:space="preserve">What are the key external environmental challenges (customers, suppliers, competitors, government regulations, etc.) that may be influencing the shared values of this </w:t>
      </w:r>
      <w:proofErr w:type="gramStart"/>
      <w:r>
        <w:rPr>
          <w:rFonts w:ascii="inherit" w:hAnsi="inherit"/>
          <w:color w:val="333333"/>
          <w:sz w:val="26"/>
          <w:szCs w:val="26"/>
        </w:rPr>
        <w:t>particular company</w:t>
      </w:r>
      <w:proofErr w:type="gramEnd"/>
      <w:r>
        <w:rPr>
          <w:rFonts w:ascii="inherit" w:hAnsi="inherit"/>
          <w:color w:val="333333"/>
          <w:sz w:val="26"/>
          <w:szCs w:val="26"/>
        </w:rPr>
        <w:t>? How has the company adapted “on the inside” to solve these external problems?</w:t>
      </w:r>
    </w:p>
    <w:p w14:paraId="390CCE7F" w14:textId="77777777" w:rsidR="00CC475B" w:rsidRDefault="00CC475B" w:rsidP="00CC475B">
      <w:pPr>
        <w:pStyle w:val="NormalWeb"/>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Based on your observations, identify where this company is in terms of the following seven dimensions:</w:t>
      </w:r>
      <w:hyperlink r:id="rId5" w:anchor="P7000478713000000000000000007B90" w:history="1">
        <w:r>
          <w:rPr>
            <w:rStyle w:val="number"/>
            <w:rFonts w:ascii="inherit" w:hAnsi="inherit"/>
            <w:b/>
            <w:bCs/>
            <w:color w:val="3399CC"/>
            <w:sz w:val="23"/>
            <w:szCs w:val="23"/>
            <w:bdr w:val="none" w:sz="0" w:space="0" w:color="auto" w:frame="1"/>
            <w:vertAlign w:val="superscript"/>
          </w:rPr>
          <w:t>61</w:t>
        </w:r>
      </w:hyperlink>
    </w:p>
    <w:p w14:paraId="3B5AABB0"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Innovation and risk taking vs. avoiding risks</w:t>
      </w:r>
    </w:p>
    <w:p w14:paraId="207958B4"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Tight attention to detail vs. loose attention to detail</w:t>
      </w:r>
    </w:p>
    <w:p w14:paraId="6A4CBC18"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lastRenderedPageBreak/>
        <w:t>Oriented to getting things done vs. oriented to the process</w:t>
      </w:r>
    </w:p>
    <w:p w14:paraId="1CD8C23B"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People orientation vs. task orientation</w:t>
      </w:r>
    </w:p>
    <w:p w14:paraId="42A01F49"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Focus on the individual worker vs. focus on the team effort</w:t>
      </w:r>
    </w:p>
    <w:p w14:paraId="13DD02CC"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 xml:space="preserve">Aggressiveness in </w:t>
      </w:r>
      <w:proofErr w:type="gramStart"/>
      <w:r>
        <w:rPr>
          <w:rFonts w:ascii="inherit" w:hAnsi="inherit"/>
          <w:color w:val="333333"/>
          <w:sz w:val="26"/>
          <w:szCs w:val="26"/>
        </w:rPr>
        <w:t>taking action</w:t>
      </w:r>
      <w:proofErr w:type="gramEnd"/>
      <w:r>
        <w:rPr>
          <w:rFonts w:ascii="inherit" w:hAnsi="inherit"/>
          <w:color w:val="333333"/>
          <w:sz w:val="26"/>
          <w:szCs w:val="26"/>
        </w:rPr>
        <w:t xml:space="preserve"> vs. easygoing</w:t>
      </w:r>
    </w:p>
    <w:p w14:paraId="20C10655" w14:textId="77777777" w:rsidR="00CC475B" w:rsidRDefault="00CC475B" w:rsidP="00CC475B">
      <w:pPr>
        <w:pStyle w:val="NormalWeb"/>
        <w:numPr>
          <w:ilvl w:val="1"/>
          <w:numId w:val="1"/>
        </w:numPr>
        <w:spacing w:before="0" w:beforeAutospacing="0" w:after="0" w:afterAutospacing="0"/>
        <w:ind w:left="2723"/>
        <w:textAlignment w:val="baseline"/>
        <w:rPr>
          <w:rFonts w:ascii="inherit" w:hAnsi="inherit"/>
          <w:color w:val="333333"/>
          <w:sz w:val="26"/>
          <w:szCs w:val="26"/>
        </w:rPr>
      </w:pPr>
      <w:r>
        <w:rPr>
          <w:rFonts w:ascii="inherit" w:hAnsi="inherit"/>
          <w:color w:val="333333"/>
          <w:sz w:val="26"/>
          <w:szCs w:val="26"/>
        </w:rPr>
        <w:t>Stability vs. openness to change</w:t>
      </w:r>
    </w:p>
    <w:p w14:paraId="281CA387" w14:textId="77777777" w:rsidR="00CC475B" w:rsidRDefault="00CC475B" w:rsidP="00CC475B">
      <w:pPr>
        <w:pStyle w:val="NormalWeb"/>
        <w:numPr>
          <w:ilvl w:val="0"/>
          <w:numId w:val="1"/>
        </w:numPr>
        <w:spacing w:before="0" w:beforeAutospacing="0" w:after="0" w:afterAutospacing="0"/>
        <w:ind w:left="1575"/>
        <w:textAlignment w:val="baseline"/>
        <w:rPr>
          <w:rFonts w:ascii="inherit" w:hAnsi="inherit"/>
          <w:color w:val="333333"/>
          <w:sz w:val="26"/>
          <w:szCs w:val="26"/>
        </w:rPr>
      </w:pPr>
      <w:r>
        <w:rPr>
          <w:rFonts w:ascii="inherit" w:hAnsi="inherit"/>
          <w:color w:val="333333"/>
          <w:sz w:val="26"/>
          <w:szCs w:val="26"/>
        </w:rPr>
        <w:t>Go online and find an example of Rube Goldberg art in which Goldberg illustrates common “systems” from everyday life as he imagines how they could be. What makes these sketches humorous? How many elements of a system can you identify in the illustration you found?</w:t>
      </w:r>
    </w:p>
    <w:p w14:paraId="21595563" w14:textId="3E6E28A8" w:rsidR="004C3FAA" w:rsidRDefault="004C3FAA"/>
    <w:p w14:paraId="231A8522" w14:textId="4B72237F" w:rsidR="00CC475B" w:rsidRDefault="00CC475B"/>
    <w:p w14:paraId="60941F16" w14:textId="77777777" w:rsidR="00CC475B" w:rsidRDefault="00CC475B" w:rsidP="00CC475B">
      <w:pPr>
        <w:rPr>
          <w:rFonts w:ascii="TimesNewRomanPSMT" w:eastAsia="Times New Roman" w:hAnsi="TimesNewRomanPSMT" w:cs="Open Sans"/>
          <w:color w:val="000000"/>
          <w:sz w:val="26"/>
          <w:szCs w:val="26"/>
          <w:bdr w:val="none" w:sz="0" w:space="0" w:color="auto" w:frame="1"/>
        </w:rPr>
      </w:pPr>
    </w:p>
    <w:p w14:paraId="261C2087" w14:textId="6CED9E98" w:rsidR="00CC475B" w:rsidRDefault="00CC475B" w:rsidP="00CC475B">
      <w:pPr>
        <w:rPr>
          <w:rFonts w:ascii="TimesNewRomanPSMT" w:eastAsia="Times New Roman" w:hAnsi="TimesNewRomanPSMT" w:cs="Open Sans"/>
          <w:color w:val="000000"/>
          <w:sz w:val="26"/>
          <w:szCs w:val="26"/>
          <w:bdr w:val="none" w:sz="0" w:space="0" w:color="auto" w:frame="1"/>
        </w:rPr>
      </w:pPr>
      <w:r>
        <w:rPr>
          <w:rFonts w:ascii="TimesNewRomanPSMT" w:eastAsia="Times New Roman" w:hAnsi="TimesNewRomanPSMT" w:cs="Open Sans"/>
          <w:color w:val="000000"/>
          <w:sz w:val="26"/>
          <w:szCs w:val="26"/>
          <w:bdr w:val="none" w:sz="0" w:space="0" w:color="auto" w:frame="1"/>
        </w:rPr>
        <w:t>WHY USSING TEMPLATES LESSON 5</w:t>
      </w:r>
    </w:p>
    <w:p w14:paraId="077A5553" w14:textId="2D796B75"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T</w:t>
      </w:r>
      <w:r w:rsidRPr="00CC475B">
        <w:rPr>
          <w:rFonts w:ascii="TimesNewRomanPSMT" w:eastAsia="Times New Roman" w:hAnsi="TimesNewRomanPSMT" w:cs="Open Sans"/>
          <w:color w:val="000000"/>
          <w:sz w:val="18"/>
          <w:szCs w:val="18"/>
          <w:bdr w:val="none" w:sz="0" w:space="0" w:color="auto" w:frame="1"/>
        </w:rPr>
        <w:t>HINK ABOUT AN ACTIVITY </w:t>
      </w:r>
      <w:r w:rsidRPr="00CC475B">
        <w:rPr>
          <w:rFonts w:ascii="TimesNewRomanPSMT" w:eastAsia="Times New Roman" w:hAnsi="TimesNewRomanPSMT" w:cs="Open Sans"/>
          <w:color w:val="000000"/>
          <w:sz w:val="26"/>
          <w:szCs w:val="26"/>
          <w:bdr w:val="none" w:sz="0" w:space="0" w:color="auto" w:frame="1"/>
        </w:rPr>
        <w:t>that you do particularly well: cooking, playing the piano, shooting a basketball, even something as basic as driving a car. If you reflect on this activity, you’ll realize that once you mastered it you no longer had to give much conscious thought to the various moves that go into doing it. Performing this activity, in other words, depends on your having learned a series of complicated moves—moves that may seem mysterious or difficult to those who haven’t yet learned them. </w:t>
      </w:r>
    </w:p>
    <w:p w14:paraId="7B27FD48"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The same applies to writing. Often without consciously realizing it, accomplished writers routinely rely on a stock of established moves that are crucial for communicating sophisticated ideas. What makes writers masters of their trade is not only their ability to express interesting thoughts but their mastery of an inventory of basic moves that they probably picked up by reading a wide range of other accomplished writers. Less experienced writers, by contrast, are often unfamiliar with these basic moves and unsure how to make them in their own writing. This book is intended as a short, user-friendly guide to the basic moves of academic writing. </w:t>
      </w:r>
    </w:p>
    <w:p w14:paraId="482CB2D5"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One of our key premises is that these basic moves are so common that they can be represented in templates that you can use right away to structure and even generate your own writing. Perhaps the most distinctive feature of this book is its presentation of many such templates, designed to help you successfully enter not only the world of academic thinking and writing but also the wider worlds of civic discourse and work. </w:t>
      </w:r>
    </w:p>
    <w:p w14:paraId="75D582FF"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Instead of focusing solely on abstract principles of writing, then, this book offers model templates that help you put those principles directly into practice. Working with these templates can give you an immediate sense of how to engage in the kinds of critical thinking you are required to do at the college level and in the vocational and public spheres beyond. </w:t>
      </w:r>
    </w:p>
    <w:p w14:paraId="1B0F66E0"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Some of these templates represent simple but crucial moves like those used to summarize some widely held beliefs. </w:t>
      </w:r>
    </w:p>
    <w:p w14:paraId="38EA6B21" w14:textId="77777777" w:rsidR="00CC475B" w:rsidRPr="00CC475B" w:rsidRDefault="00CC475B" w:rsidP="00CC475B">
      <w:pPr>
        <w:rPr>
          <w:rFonts w:ascii="Open Sans" w:eastAsia="Times New Roman" w:hAnsi="Open Sans" w:cs="Open Sans"/>
          <w:color w:val="000000"/>
        </w:rPr>
      </w:pPr>
      <w:r w:rsidRPr="00CC475B">
        <w:rPr>
          <w:rFonts w:ascii="Segoe UI Symbol" w:eastAsia="Times New Roman" w:hAnsi="Segoe UI Symbol" w:cs="Segoe UI Symbol"/>
          <w:color w:val="000000"/>
          <w:sz w:val="22"/>
          <w:szCs w:val="22"/>
          <w:bdr w:val="none" w:sz="0" w:space="0" w:color="auto" w:frame="1"/>
        </w:rPr>
        <w:t>▸</w:t>
      </w:r>
      <w:r w:rsidRPr="00CC475B">
        <w:rPr>
          <w:rFonts w:ascii="DejaVuSerif" w:eastAsia="Times New Roman" w:hAnsi="DejaVuSerif" w:cs="Open Sans"/>
          <w:color w:val="000000"/>
          <w:sz w:val="22"/>
          <w:szCs w:val="22"/>
          <w:bdr w:val="none" w:sz="0" w:space="0" w:color="auto" w:frame="1"/>
        </w:rPr>
        <w:t> </w:t>
      </w:r>
      <w:r w:rsidRPr="00CC475B">
        <w:rPr>
          <w:rFonts w:ascii="TimesNewRomanPSMT" w:eastAsia="Times New Roman" w:hAnsi="TimesNewRomanPSMT" w:cs="Open Sans"/>
          <w:color w:val="000000"/>
          <w:sz w:val="22"/>
          <w:szCs w:val="22"/>
          <w:bdr w:val="none" w:sz="0" w:space="0" w:color="auto" w:frame="1"/>
        </w:rPr>
        <w:t>Many Americans assume that __________. </w:t>
      </w:r>
      <w:r w:rsidRPr="00CC475B">
        <w:rPr>
          <w:rFonts w:ascii="TimesNewRomanPSMT" w:eastAsia="Times New Roman" w:hAnsi="TimesNewRomanPSMT" w:cs="Open Sans"/>
          <w:color w:val="000000"/>
          <w:sz w:val="26"/>
          <w:szCs w:val="26"/>
          <w:bdr w:val="none" w:sz="0" w:space="0" w:color="auto" w:frame="1"/>
        </w:rPr>
        <w:t>Others are more complicated. </w:t>
      </w:r>
    </w:p>
    <w:p w14:paraId="141C9CF8" w14:textId="77777777" w:rsidR="00CC475B" w:rsidRPr="00CC475B" w:rsidRDefault="00CC475B" w:rsidP="00CC475B">
      <w:pPr>
        <w:numPr>
          <w:ilvl w:val="0"/>
          <w:numId w:val="2"/>
        </w:numPr>
        <w:rPr>
          <w:rFonts w:ascii="Open Sans" w:eastAsia="Times New Roman" w:hAnsi="Open Sans" w:cs="Open Sans"/>
          <w:color w:val="000000"/>
          <w:sz w:val="20"/>
          <w:szCs w:val="20"/>
        </w:rPr>
      </w:pPr>
      <w:proofErr w:type="gramStart"/>
      <w:r w:rsidRPr="00CC475B">
        <w:rPr>
          <w:rFonts w:ascii="Segoe UI Symbol" w:eastAsia="Times New Roman" w:hAnsi="Segoe UI Symbol" w:cs="Segoe UI Symbol"/>
          <w:color w:val="000000"/>
          <w:sz w:val="22"/>
          <w:szCs w:val="22"/>
          <w:bdr w:val="none" w:sz="0" w:space="0" w:color="auto" w:frame="1"/>
        </w:rPr>
        <w:t>▸</w:t>
      </w:r>
      <w:r w:rsidRPr="00CC475B">
        <w:rPr>
          <w:rFonts w:ascii="DejaVuSerif" w:eastAsia="Times New Roman" w:hAnsi="DejaVuSerif" w:cs="Open Sans"/>
          <w:color w:val="000000"/>
          <w:sz w:val="22"/>
          <w:szCs w:val="22"/>
          <w:bdr w:val="none" w:sz="0" w:space="0" w:color="auto" w:frame="1"/>
        </w:rPr>
        <w:t xml:space="preserve">  </w:t>
      </w:r>
      <w:r w:rsidRPr="00CC475B">
        <w:rPr>
          <w:rFonts w:ascii="TimesNewRomanPSMT" w:eastAsia="Times New Roman" w:hAnsi="TimesNewRomanPSMT" w:cs="Open Sans"/>
          <w:color w:val="000000"/>
          <w:sz w:val="22"/>
          <w:szCs w:val="22"/>
          <w:bdr w:val="none" w:sz="0" w:space="0" w:color="auto" w:frame="1"/>
        </w:rPr>
        <w:t>On</w:t>
      </w:r>
      <w:proofErr w:type="gramEnd"/>
      <w:r w:rsidRPr="00CC475B">
        <w:rPr>
          <w:rFonts w:ascii="TimesNewRomanPSMT" w:eastAsia="Times New Roman" w:hAnsi="TimesNewRomanPSMT" w:cs="Open Sans"/>
          <w:color w:val="000000"/>
          <w:sz w:val="22"/>
          <w:szCs w:val="22"/>
          <w:bdr w:val="none" w:sz="0" w:space="0" w:color="auto" w:frame="1"/>
        </w:rPr>
        <w:t xml:space="preserve"> the one hand, __________. On the other hand, __________. </w:t>
      </w:r>
    </w:p>
    <w:p w14:paraId="28BE909D" w14:textId="77777777" w:rsidR="00CC475B" w:rsidRPr="00CC475B" w:rsidRDefault="00CC475B" w:rsidP="00CC475B">
      <w:pPr>
        <w:numPr>
          <w:ilvl w:val="0"/>
          <w:numId w:val="2"/>
        </w:numPr>
        <w:rPr>
          <w:rFonts w:ascii="Open Sans" w:eastAsia="Times New Roman" w:hAnsi="Open Sans" w:cs="Open Sans"/>
          <w:color w:val="000000"/>
          <w:sz w:val="20"/>
          <w:szCs w:val="20"/>
        </w:rPr>
      </w:pPr>
      <w:proofErr w:type="gramStart"/>
      <w:r w:rsidRPr="00CC475B">
        <w:rPr>
          <w:rFonts w:ascii="Segoe UI Symbol" w:eastAsia="Times New Roman" w:hAnsi="Segoe UI Symbol" w:cs="Segoe UI Symbol"/>
          <w:color w:val="000000"/>
          <w:sz w:val="22"/>
          <w:szCs w:val="22"/>
          <w:bdr w:val="none" w:sz="0" w:space="0" w:color="auto" w:frame="1"/>
        </w:rPr>
        <w:t>▸</w:t>
      </w:r>
      <w:r w:rsidRPr="00CC475B">
        <w:rPr>
          <w:rFonts w:ascii="DejaVuSerif" w:eastAsia="Times New Roman" w:hAnsi="DejaVuSerif" w:cs="Open Sans"/>
          <w:color w:val="000000"/>
          <w:sz w:val="22"/>
          <w:szCs w:val="22"/>
          <w:bdr w:val="none" w:sz="0" w:space="0" w:color="auto" w:frame="1"/>
        </w:rPr>
        <w:t xml:space="preserve">  </w:t>
      </w:r>
      <w:r w:rsidRPr="00CC475B">
        <w:rPr>
          <w:rFonts w:ascii="TimesNewRomanPSMT" w:eastAsia="Times New Roman" w:hAnsi="TimesNewRomanPSMT" w:cs="Open Sans"/>
          <w:color w:val="000000"/>
          <w:sz w:val="22"/>
          <w:szCs w:val="22"/>
          <w:bdr w:val="none" w:sz="0" w:space="0" w:color="auto" w:frame="1"/>
        </w:rPr>
        <w:t>Author</w:t>
      </w:r>
      <w:proofErr w:type="gramEnd"/>
      <w:r w:rsidRPr="00CC475B">
        <w:rPr>
          <w:rFonts w:ascii="TimesNewRomanPSMT" w:eastAsia="Times New Roman" w:hAnsi="TimesNewRomanPSMT" w:cs="Open Sans"/>
          <w:color w:val="000000"/>
          <w:sz w:val="22"/>
          <w:szCs w:val="22"/>
          <w:bdr w:val="none" w:sz="0" w:space="0" w:color="auto" w:frame="1"/>
        </w:rPr>
        <w:t xml:space="preserve"> X contradicts herself. </w:t>
      </w:r>
      <w:proofErr w:type="gramStart"/>
      <w:r w:rsidRPr="00CC475B">
        <w:rPr>
          <w:rFonts w:ascii="TimesNewRomanPSMT" w:eastAsia="Times New Roman" w:hAnsi="TimesNewRomanPSMT" w:cs="Open Sans"/>
          <w:color w:val="000000"/>
          <w:sz w:val="22"/>
          <w:szCs w:val="22"/>
          <w:bdr w:val="none" w:sz="0" w:space="0" w:color="auto" w:frame="1"/>
        </w:rPr>
        <w:t>At the same time that</w:t>
      </w:r>
      <w:proofErr w:type="gramEnd"/>
      <w:r w:rsidRPr="00CC475B">
        <w:rPr>
          <w:rFonts w:ascii="TimesNewRomanPSMT" w:eastAsia="Times New Roman" w:hAnsi="TimesNewRomanPSMT" w:cs="Open Sans"/>
          <w:color w:val="000000"/>
          <w:sz w:val="22"/>
          <w:szCs w:val="22"/>
          <w:bdr w:val="none" w:sz="0" w:space="0" w:color="auto" w:frame="1"/>
        </w:rPr>
        <w:t xml:space="preserve"> she argues __________, she also implies __________. </w:t>
      </w:r>
    </w:p>
    <w:p w14:paraId="31BEAB8E" w14:textId="77777777" w:rsidR="00CC475B" w:rsidRPr="00CC475B" w:rsidRDefault="00CC475B" w:rsidP="00CC475B">
      <w:pPr>
        <w:numPr>
          <w:ilvl w:val="0"/>
          <w:numId w:val="2"/>
        </w:numPr>
        <w:rPr>
          <w:rFonts w:ascii="Open Sans" w:eastAsia="Times New Roman" w:hAnsi="Open Sans" w:cs="Open Sans"/>
          <w:color w:val="000000"/>
          <w:sz w:val="20"/>
          <w:szCs w:val="20"/>
        </w:rPr>
      </w:pPr>
      <w:proofErr w:type="gramStart"/>
      <w:r w:rsidRPr="00CC475B">
        <w:rPr>
          <w:rFonts w:ascii="Segoe UI Symbol" w:eastAsia="Times New Roman" w:hAnsi="Segoe UI Symbol" w:cs="Segoe UI Symbol"/>
          <w:color w:val="000000"/>
          <w:sz w:val="22"/>
          <w:szCs w:val="22"/>
          <w:bdr w:val="none" w:sz="0" w:space="0" w:color="auto" w:frame="1"/>
        </w:rPr>
        <w:lastRenderedPageBreak/>
        <w:t>▸</w:t>
      </w:r>
      <w:r w:rsidRPr="00CC475B">
        <w:rPr>
          <w:rFonts w:ascii="DejaVuSerif" w:eastAsia="Times New Roman" w:hAnsi="DejaVuSerif" w:cs="Open Sans"/>
          <w:color w:val="000000"/>
          <w:sz w:val="22"/>
          <w:szCs w:val="22"/>
          <w:bdr w:val="none" w:sz="0" w:space="0" w:color="auto" w:frame="1"/>
        </w:rPr>
        <w:t xml:space="preserve">  </w:t>
      </w:r>
      <w:r w:rsidRPr="00CC475B">
        <w:rPr>
          <w:rFonts w:ascii="TimesNewRomanPSMT" w:eastAsia="Times New Roman" w:hAnsi="TimesNewRomanPSMT" w:cs="Open Sans"/>
          <w:color w:val="000000"/>
          <w:sz w:val="22"/>
          <w:szCs w:val="22"/>
          <w:bdr w:val="none" w:sz="0" w:space="0" w:color="auto" w:frame="1"/>
        </w:rPr>
        <w:t>I</w:t>
      </w:r>
      <w:proofErr w:type="gramEnd"/>
      <w:r w:rsidRPr="00CC475B">
        <w:rPr>
          <w:rFonts w:ascii="TimesNewRomanPSMT" w:eastAsia="Times New Roman" w:hAnsi="TimesNewRomanPSMT" w:cs="Open Sans"/>
          <w:color w:val="000000"/>
          <w:sz w:val="22"/>
          <w:szCs w:val="22"/>
          <w:bdr w:val="none" w:sz="0" w:space="0" w:color="auto" w:frame="1"/>
        </w:rPr>
        <w:t xml:space="preserve"> agree that __________. </w:t>
      </w:r>
    </w:p>
    <w:p w14:paraId="7AC83C3A" w14:textId="77777777" w:rsidR="00CC475B" w:rsidRPr="00CC475B" w:rsidRDefault="00CC475B" w:rsidP="00CC475B">
      <w:pPr>
        <w:numPr>
          <w:ilvl w:val="0"/>
          <w:numId w:val="2"/>
        </w:numPr>
        <w:rPr>
          <w:rFonts w:ascii="Open Sans" w:eastAsia="Times New Roman" w:hAnsi="Open Sans" w:cs="Open Sans"/>
          <w:color w:val="000000"/>
          <w:sz w:val="20"/>
          <w:szCs w:val="20"/>
        </w:rPr>
      </w:pPr>
      <w:proofErr w:type="gramStart"/>
      <w:r w:rsidRPr="00CC475B">
        <w:rPr>
          <w:rFonts w:ascii="Segoe UI Symbol" w:eastAsia="Times New Roman" w:hAnsi="Segoe UI Symbol" w:cs="Segoe UI Symbol"/>
          <w:color w:val="000000"/>
          <w:sz w:val="22"/>
          <w:szCs w:val="22"/>
          <w:bdr w:val="none" w:sz="0" w:space="0" w:color="auto" w:frame="1"/>
        </w:rPr>
        <w:t>▸</w:t>
      </w:r>
      <w:r w:rsidRPr="00CC475B">
        <w:rPr>
          <w:rFonts w:ascii="DejaVuSerif" w:eastAsia="Times New Roman" w:hAnsi="DejaVuSerif" w:cs="Open Sans"/>
          <w:color w:val="000000"/>
          <w:sz w:val="22"/>
          <w:szCs w:val="22"/>
          <w:bdr w:val="none" w:sz="0" w:space="0" w:color="auto" w:frame="1"/>
        </w:rPr>
        <w:t xml:space="preserve">  </w:t>
      </w:r>
      <w:r w:rsidRPr="00CC475B">
        <w:rPr>
          <w:rFonts w:ascii="TimesNewRomanPSMT" w:eastAsia="Times New Roman" w:hAnsi="TimesNewRomanPSMT" w:cs="Open Sans"/>
          <w:color w:val="000000"/>
          <w:sz w:val="22"/>
          <w:szCs w:val="22"/>
          <w:bdr w:val="none" w:sz="0" w:space="0" w:color="auto" w:frame="1"/>
        </w:rPr>
        <w:t>This</w:t>
      </w:r>
      <w:proofErr w:type="gramEnd"/>
      <w:r w:rsidRPr="00CC475B">
        <w:rPr>
          <w:rFonts w:ascii="TimesNewRomanPSMT" w:eastAsia="Times New Roman" w:hAnsi="TimesNewRomanPSMT" w:cs="Open Sans"/>
          <w:color w:val="000000"/>
          <w:sz w:val="22"/>
          <w:szCs w:val="22"/>
          <w:bdr w:val="none" w:sz="0" w:space="0" w:color="auto" w:frame="1"/>
        </w:rPr>
        <w:t xml:space="preserve"> is not to say that __________. </w:t>
      </w:r>
    </w:p>
    <w:p w14:paraId="6EBB6E82" w14:textId="77777777" w:rsidR="00CC475B" w:rsidRPr="00CC475B" w:rsidRDefault="00CC475B" w:rsidP="00CC475B">
      <w:pPr>
        <w:ind w:left="720"/>
        <w:rPr>
          <w:rFonts w:ascii="Open Sans" w:eastAsia="Times New Roman" w:hAnsi="Open Sans" w:cs="Open Sans"/>
          <w:color w:val="000000"/>
          <w:sz w:val="20"/>
          <w:szCs w:val="20"/>
        </w:rPr>
      </w:pPr>
      <w:r w:rsidRPr="00CC475B">
        <w:rPr>
          <w:rFonts w:ascii="TimesNewRomanPSMT" w:eastAsia="Times New Roman" w:hAnsi="TimesNewRomanPSMT" w:cs="Open Sans"/>
          <w:color w:val="000000"/>
          <w:sz w:val="26"/>
          <w:szCs w:val="26"/>
          <w:bdr w:val="none" w:sz="0" w:space="0" w:color="auto" w:frame="1"/>
        </w:rPr>
        <w:t>It is true, of course, that critical thinking and writing go deeper than any set of linguistic formulas, requiring that you question assumptions, develop strong claims, offer supporting reasons and evidence, consider opposing arguments, and so on. But these deeper habits of thought cannot be put into practice unless you have a language for expressing them in clear, organized ways. </w:t>
      </w:r>
    </w:p>
    <w:p w14:paraId="278B71BB" w14:textId="77777777" w:rsidR="00CC475B" w:rsidRPr="00CC475B" w:rsidRDefault="00CC475B" w:rsidP="00CC475B">
      <w:pPr>
        <w:ind w:left="720"/>
        <w:rPr>
          <w:rFonts w:ascii="Open Sans" w:eastAsia="Times New Roman" w:hAnsi="Open Sans" w:cs="Open Sans"/>
          <w:color w:val="000000"/>
          <w:sz w:val="20"/>
          <w:szCs w:val="20"/>
        </w:rPr>
      </w:pPr>
      <w:r w:rsidRPr="00CC475B">
        <w:rPr>
          <w:rFonts w:ascii="TimesNewRomanPSMT" w:eastAsia="Times New Roman" w:hAnsi="TimesNewRomanPSMT" w:cs="Open Sans"/>
          <w:color w:val="000000"/>
          <w:sz w:val="26"/>
          <w:szCs w:val="26"/>
          <w:bdr w:val="none" w:sz="0" w:space="0" w:color="auto" w:frame="1"/>
        </w:rPr>
        <w:t>STATE YOUR OWN IDEAS AS A RESPONSE TO OTHERS</w:t>
      </w:r>
      <w:r w:rsidRPr="00CC475B">
        <w:rPr>
          <w:rFonts w:ascii="Open Sans" w:eastAsia="Times New Roman" w:hAnsi="Open Sans" w:cs="Open Sans"/>
          <w:color w:val="000000"/>
          <w:sz w:val="26"/>
          <w:szCs w:val="26"/>
          <w:bdr w:val="none" w:sz="0" w:space="0" w:color="auto" w:frame="1"/>
        </w:rPr>
        <w:br/>
      </w:r>
      <w:r w:rsidRPr="00CC475B">
        <w:rPr>
          <w:rFonts w:ascii="TimesNewRomanPSMT" w:eastAsia="Times New Roman" w:hAnsi="TimesNewRomanPSMT" w:cs="Open Sans"/>
          <w:color w:val="000000"/>
          <w:sz w:val="26"/>
          <w:szCs w:val="26"/>
          <w:bdr w:val="none" w:sz="0" w:space="0" w:color="auto" w:frame="1"/>
        </w:rPr>
        <w:t>The single most important template that we focus on in this book is the “they say __________; I say </w:t>
      </w:r>
    </w:p>
    <w:p w14:paraId="2B96DA31"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__________” formula that gives our book its title. If there is anyone point that we hope you will take away from this book, it is the importance not only of expressing your ideas (“I say”) but of presenting those ideas as a response to some other person or group (“they say”). For us, the underlying structure of effective academic writing—and of responsible public discourse—resides not just in stating our own ideas but in listening closely to others around us, summarizing their views in a way that they will recognize, and responding with our own ideas in kind. Broadly speaking, academic writing is argumentative writing, and we believe that to argue well you need to do more than assert your own position. You need to enter a conversation, using what others say (or might say) as a launching pad or sounding board for your own views. For this reason, one of the main pieces of advice in this book is to write the voices of others into your text. </w:t>
      </w:r>
    </w:p>
    <w:p w14:paraId="553D59AC"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In our view, then, the best academic writing has one underlying feature: it is deeply engaged in some way with other people’s views. Too often, however, academic writing is taught as a process of saying “true” or “smart” things in a vacuum, as if it were possible to argue effectively without being in conversation with someone else. If you have been taught to write a traditional five-paragraph essay, for example, you have learned how to develop a thesis and support it with evidence. This is good advice as far as it goes, but it leaves out the important fact that in the real world we don’t make arguments without being provoked. Instead, we make arguments because someone has said or done something (or perhaps not said or done something) and we need to respond: “I can’t see why you like the Lakers so much”; “I agree: it was a great film”; “That argument is contradictory.” If it weren’t for other people and our need to challenge, agree with, or otherwise respond to them, there would be no reason to argue at all. </w:t>
      </w:r>
    </w:p>
    <w:p w14:paraId="2DA60D74"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To make an impact as a writer, you need to do more than making statements that are logical, well supported, and consistent. You must also find a way of entering a conversation with others’ views— with something “they say.” If your own argument doesn’t identify the “they say” that you’re responding to, it probably won’t make sense. As the figure above suggests, what you are saying maybe clear to your audience, but why you are saying it won’t be. For it is what others are saying and thinking that motivates our writing and gives it a reason for being. It follows, then, as the figure on the next page suggests, that your own argument—the thesis or “I say” moment of your text—should always be a response to the arguments of others. </w:t>
      </w:r>
    </w:p>
    <w:p w14:paraId="565ED92E"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lastRenderedPageBreak/>
        <w:t xml:space="preserve">If you go back over this template, you will see that it helps you make a host of challenging moves (each of which is taken up in forthcoming chapters in this book). First, the template helps you open your text by identifying an issue in some ongoing conversation or debate (“In recent discussions of __________, a controversial issue has been __________”), and then to map some of the voices in this controversy (by using the “on the one hand / on the other hand” structure). The template also helps you introduce a quotation (“In the words of”), to explain the quotation in your own words (“According to this view”), and—in a new paragraph—to state your own argument (“My own view is that”), to qualify your argument (“Though I concede that”), and then to support your argument with evidence (“For example”). In addition, the template helps you make one of the most crucial moves in argumentative writing, what we call “planting a naysayer in your text,” in which you summarize and then answer a likely objection to your own central claim (“Although it might be objected that _______, I reply _______”). Finally, this template helps you shift between general, overarching claims (“In sum, then”) and </w:t>
      </w:r>
      <w:proofErr w:type="gramStart"/>
      <w:r w:rsidRPr="00CC475B">
        <w:rPr>
          <w:rFonts w:ascii="TimesNewRomanPSMT" w:eastAsia="Times New Roman" w:hAnsi="TimesNewRomanPSMT" w:cs="Open Sans"/>
          <w:color w:val="000000"/>
          <w:sz w:val="26"/>
          <w:szCs w:val="26"/>
          <w:bdr w:val="none" w:sz="0" w:space="0" w:color="auto" w:frame="1"/>
        </w:rPr>
        <w:t>smaller-scale</w:t>
      </w:r>
      <w:proofErr w:type="gramEnd"/>
      <w:r w:rsidRPr="00CC475B">
        <w:rPr>
          <w:rFonts w:ascii="TimesNewRomanPSMT" w:eastAsia="Times New Roman" w:hAnsi="TimesNewRomanPSMT" w:cs="Open Sans"/>
          <w:color w:val="000000"/>
          <w:sz w:val="26"/>
          <w:szCs w:val="26"/>
          <w:bdr w:val="none" w:sz="0" w:space="0" w:color="auto" w:frame="1"/>
        </w:rPr>
        <w:t>, supporting claims (“For example”). </w:t>
      </w:r>
    </w:p>
    <w:p w14:paraId="0FBEA2D7" w14:textId="77777777" w:rsidR="00CC475B" w:rsidRPr="00CC475B" w:rsidRDefault="00CC475B" w:rsidP="00CC475B">
      <w:pPr>
        <w:rPr>
          <w:rFonts w:ascii="Open Sans" w:eastAsia="Times New Roman" w:hAnsi="Open Sans" w:cs="Open Sans"/>
          <w:color w:val="000000"/>
        </w:rPr>
      </w:pPr>
      <w:r w:rsidRPr="00CC475B">
        <w:rPr>
          <w:rFonts w:ascii="TimesNewRomanPSMT" w:eastAsia="Times New Roman" w:hAnsi="TimesNewRomanPSMT" w:cs="Open Sans"/>
          <w:color w:val="000000"/>
          <w:sz w:val="26"/>
          <w:szCs w:val="26"/>
          <w:bdr w:val="none" w:sz="0" w:space="0" w:color="auto" w:frame="1"/>
        </w:rPr>
        <w:t>Again, none of us is born knowing these moves, especially when it comes to academic writing. Hence the need for this book. </w:t>
      </w:r>
    </w:p>
    <w:p w14:paraId="1F79BF84" w14:textId="77777777" w:rsidR="00CC475B" w:rsidRPr="00CC475B" w:rsidRDefault="00CC475B" w:rsidP="00CC475B">
      <w:pPr>
        <w:rPr>
          <w:rFonts w:eastAsia="Times New Roman" w:cs="Times New Roman"/>
        </w:rPr>
      </w:pPr>
    </w:p>
    <w:p w14:paraId="74C8972D" w14:textId="77777777" w:rsidR="00CC475B" w:rsidRDefault="00CC475B"/>
    <w:sectPr w:rsidR="00CC475B"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inherit">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Open Sans">
    <w:panose1 w:val="020B0604020202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DejaVuSerif">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C75F0"/>
    <w:multiLevelType w:val="multilevel"/>
    <w:tmpl w:val="AF3878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9B25DC"/>
    <w:multiLevelType w:val="multilevel"/>
    <w:tmpl w:val="4200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5B"/>
    <w:rsid w:val="000A123E"/>
    <w:rsid w:val="004C3FAA"/>
    <w:rsid w:val="00CC475B"/>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038F"/>
  <w15:chartTrackingRefBased/>
  <w15:docId w15:val="{3B6A0D41-0400-1B44-913A-E4CBA917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475B"/>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CC475B"/>
  </w:style>
  <w:style w:type="character" w:customStyle="1" w:styleId="emphasis">
    <w:name w:val="emphasis"/>
    <w:basedOn w:val="DefaultParagraphFont"/>
    <w:rsid w:val="00CC475B"/>
  </w:style>
  <w:style w:type="character" w:customStyle="1" w:styleId="number">
    <w:name w:val="number"/>
    <w:basedOn w:val="DefaultParagraphFont"/>
    <w:rsid w:val="00CC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94923">
      <w:bodyDiv w:val="1"/>
      <w:marLeft w:val="0"/>
      <w:marRight w:val="0"/>
      <w:marTop w:val="0"/>
      <w:marBottom w:val="0"/>
      <w:divBdr>
        <w:top w:val="none" w:sz="0" w:space="0" w:color="auto"/>
        <w:left w:val="none" w:sz="0" w:space="0" w:color="auto"/>
        <w:bottom w:val="none" w:sz="0" w:space="0" w:color="auto"/>
        <w:right w:val="none" w:sz="0" w:space="0" w:color="auto"/>
      </w:divBdr>
      <w:divsChild>
        <w:div w:id="1752891791">
          <w:marLeft w:val="0"/>
          <w:marRight w:val="0"/>
          <w:marTop w:val="0"/>
          <w:marBottom w:val="0"/>
          <w:divBdr>
            <w:top w:val="none" w:sz="0" w:space="0" w:color="auto"/>
            <w:left w:val="none" w:sz="0" w:space="0" w:color="auto"/>
            <w:bottom w:val="none" w:sz="0" w:space="0" w:color="auto"/>
            <w:right w:val="none" w:sz="0" w:space="0" w:color="auto"/>
          </w:divBdr>
          <w:divsChild>
            <w:div w:id="1553150452">
              <w:marLeft w:val="0"/>
              <w:marRight w:val="0"/>
              <w:marTop w:val="0"/>
              <w:marBottom w:val="0"/>
              <w:divBdr>
                <w:top w:val="none" w:sz="0" w:space="0" w:color="auto"/>
                <w:left w:val="none" w:sz="0" w:space="0" w:color="auto"/>
                <w:bottom w:val="none" w:sz="0" w:space="0" w:color="auto"/>
                <w:right w:val="none" w:sz="0" w:space="0" w:color="auto"/>
              </w:divBdr>
              <w:divsChild>
                <w:div w:id="750155997">
                  <w:marLeft w:val="0"/>
                  <w:marRight w:val="0"/>
                  <w:marTop w:val="0"/>
                  <w:marBottom w:val="0"/>
                  <w:divBdr>
                    <w:top w:val="none" w:sz="0" w:space="0" w:color="auto"/>
                    <w:left w:val="none" w:sz="0" w:space="0" w:color="auto"/>
                    <w:bottom w:val="none" w:sz="0" w:space="0" w:color="auto"/>
                    <w:right w:val="none" w:sz="0" w:space="0" w:color="auto"/>
                  </w:divBdr>
                  <w:divsChild>
                    <w:div w:id="1418164062">
                      <w:marLeft w:val="0"/>
                      <w:marRight w:val="0"/>
                      <w:marTop w:val="0"/>
                      <w:marBottom w:val="240"/>
                      <w:divBdr>
                        <w:top w:val="none" w:sz="0" w:space="0" w:color="auto"/>
                        <w:left w:val="none" w:sz="0" w:space="0" w:color="auto"/>
                        <w:bottom w:val="none" w:sz="0" w:space="0" w:color="auto"/>
                        <w:right w:val="none" w:sz="0" w:space="0" w:color="auto"/>
                      </w:divBdr>
                    </w:div>
                    <w:div w:id="2086028519">
                      <w:marLeft w:val="0"/>
                      <w:marRight w:val="0"/>
                      <w:marTop w:val="0"/>
                      <w:marBottom w:val="240"/>
                      <w:divBdr>
                        <w:top w:val="none" w:sz="0" w:space="0" w:color="auto"/>
                        <w:left w:val="none" w:sz="0" w:space="0" w:color="auto"/>
                        <w:bottom w:val="none" w:sz="0" w:space="0" w:color="auto"/>
                        <w:right w:val="none" w:sz="0" w:space="0" w:color="auto"/>
                      </w:divBdr>
                    </w:div>
                    <w:div w:id="1676493735">
                      <w:marLeft w:val="0"/>
                      <w:marRight w:val="0"/>
                      <w:marTop w:val="0"/>
                      <w:marBottom w:val="240"/>
                      <w:divBdr>
                        <w:top w:val="none" w:sz="0" w:space="0" w:color="auto"/>
                        <w:left w:val="none" w:sz="0" w:space="0" w:color="auto"/>
                        <w:bottom w:val="none" w:sz="0" w:space="0" w:color="auto"/>
                        <w:right w:val="none" w:sz="0" w:space="0" w:color="auto"/>
                      </w:divBdr>
                    </w:div>
                    <w:div w:id="1861041605">
                      <w:marLeft w:val="0"/>
                      <w:marRight w:val="0"/>
                      <w:marTop w:val="0"/>
                      <w:marBottom w:val="240"/>
                      <w:divBdr>
                        <w:top w:val="none" w:sz="0" w:space="0" w:color="auto"/>
                        <w:left w:val="none" w:sz="0" w:space="0" w:color="auto"/>
                        <w:bottom w:val="none" w:sz="0" w:space="0" w:color="auto"/>
                        <w:right w:val="none" w:sz="0" w:space="0" w:color="auto"/>
                      </w:divBdr>
                    </w:div>
                    <w:div w:id="1302996969">
                      <w:marLeft w:val="0"/>
                      <w:marRight w:val="0"/>
                      <w:marTop w:val="0"/>
                      <w:marBottom w:val="240"/>
                      <w:divBdr>
                        <w:top w:val="none" w:sz="0" w:space="0" w:color="auto"/>
                        <w:left w:val="none" w:sz="0" w:space="0" w:color="auto"/>
                        <w:bottom w:val="none" w:sz="0" w:space="0" w:color="auto"/>
                        <w:right w:val="none" w:sz="0" w:space="0" w:color="auto"/>
                      </w:divBdr>
                    </w:div>
                    <w:div w:id="1014764384">
                      <w:marLeft w:val="0"/>
                      <w:marRight w:val="0"/>
                      <w:marTop w:val="0"/>
                      <w:marBottom w:val="240"/>
                      <w:divBdr>
                        <w:top w:val="none" w:sz="0" w:space="0" w:color="auto"/>
                        <w:left w:val="none" w:sz="0" w:space="0" w:color="auto"/>
                        <w:bottom w:val="none" w:sz="0" w:space="0" w:color="auto"/>
                        <w:right w:val="none" w:sz="0" w:space="0" w:color="auto"/>
                      </w:divBdr>
                    </w:div>
                    <w:div w:id="430778997">
                      <w:marLeft w:val="0"/>
                      <w:marRight w:val="0"/>
                      <w:marTop w:val="0"/>
                      <w:marBottom w:val="240"/>
                      <w:divBdr>
                        <w:top w:val="none" w:sz="0" w:space="0" w:color="auto"/>
                        <w:left w:val="none" w:sz="0" w:space="0" w:color="auto"/>
                        <w:bottom w:val="none" w:sz="0" w:space="0" w:color="auto"/>
                        <w:right w:val="none" w:sz="0" w:space="0" w:color="auto"/>
                      </w:divBdr>
                    </w:div>
                    <w:div w:id="1321275477">
                      <w:marLeft w:val="0"/>
                      <w:marRight w:val="0"/>
                      <w:marTop w:val="0"/>
                      <w:marBottom w:val="240"/>
                      <w:divBdr>
                        <w:top w:val="none" w:sz="0" w:space="0" w:color="auto"/>
                        <w:left w:val="none" w:sz="0" w:space="0" w:color="auto"/>
                        <w:bottom w:val="none" w:sz="0" w:space="0" w:color="auto"/>
                        <w:right w:val="none" w:sz="0" w:space="0" w:color="auto"/>
                      </w:divBdr>
                    </w:div>
                    <w:div w:id="473912018">
                      <w:marLeft w:val="0"/>
                      <w:marRight w:val="0"/>
                      <w:marTop w:val="0"/>
                      <w:marBottom w:val="240"/>
                      <w:divBdr>
                        <w:top w:val="none" w:sz="0" w:space="0" w:color="auto"/>
                        <w:left w:val="none" w:sz="0" w:space="0" w:color="auto"/>
                        <w:bottom w:val="none" w:sz="0" w:space="0" w:color="auto"/>
                        <w:right w:val="none" w:sz="0" w:space="0" w:color="auto"/>
                      </w:divBdr>
                    </w:div>
                    <w:div w:id="1794598601">
                      <w:marLeft w:val="0"/>
                      <w:marRight w:val="0"/>
                      <w:marTop w:val="0"/>
                      <w:marBottom w:val="240"/>
                      <w:divBdr>
                        <w:top w:val="none" w:sz="0" w:space="0" w:color="auto"/>
                        <w:left w:val="none" w:sz="0" w:space="0" w:color="auto"/>
                        <w:bottom w:val="none" w:sz="0" w:space="0" w:color="auto"/>
                        <w:right w:val="none" w:sz="0" w:space="0" w:color="auto"/>
                      </w:divBdr>
                    </w:div>
                    <w:div w:id="1493330282">
                      <w:marLeft w:val="0"/>
                      <w:marRight w:val="0"/>
                      <w:marTop w:val="0"/>
                      <w:marBottom w:val="240"/>
                      <w:divBdr>
                        <w:top w:val="none" w:sz="0" w:space="0" w:color="auto"/>
                        <w:left w:val="none" w:sz="0" w:space="0" w:color="auto"/>
                        <w:bottom w:val="none" w:sz="0" w:space="0" w:color="auto"/>
                        <w:right w:val="none" w:sz="0" w:space="0" w:color="auto"/>
                      </w:divBdr>
                    </w:div>
                    <w:div w:id="10230943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6856991">
          <w:marLeft w:val="0"/>
          <w:marRight w:val="0"/>
          <w:marTop w:val="0"/>
          <w:marBottom w:val="0"/>
          <w:divBdr>
            <w:top w:val="none" w:sz="0" w:space="0" w:color="auto"/>
            <w:left w:val="none" w:sz="0" w:space="0" w:color="auto"/>
            <w:bottom w:val="none" w:sz="0" w:space="0" w:color="auto"/>
            <w:right w:val="none" w:sz="0" w:space="0" w:color="auto"/>
          </w:divBdr>
          <w:divsChild>
            <w:div w:id="73361408">
              <w:marLeft w:val="0"/>
              <w:marRight w:val="0"/>
              <w:marTop w:val="0"/>
              <w:marBottom w:val="0"/>
              <w:divBdr>
                <w:top w:val="none" w:sz="0" w:space="0" w:color="auto"/>
                <w:left w:val="none" w:sz="0" w:space="0" w:color="auto"/>
                <w:bottom w:val="none" w:sz="0" w:space="0" w:color="auto"/>
                <w:right w:val="none" w:sz="0" w:space="0" w:color="auto"/>
              </w:divBdr>
              <w:divsChild>
                <w:div w:id="1562252760">
                  <w:marLeft w:val="0"/>
                  <w:marRight w:val="0"/>
                  <w:marTop w:val="0"/>
                  <w:marBottom w:val="0"/>
                  <w:divBdr>
                    <w:top w:val="none" w:sz="0" w:space="0" w:color="auto"/>
                    <w:left w:val="none" w:sz="0" w:space="0" w:color="auto"/>
                    <w:bottom w:val="none" w:sz="0" w:space="0" w:color="auto"/>
                    <w:right w:val="none" w:sz="0" w:space="0" w:color="auto"/>
                  </w:divBdr>
                  <w:divsChild>
                    <w:div w:id="1528984066">
                      <w:marLeft w:val="0"/>
                      <w:marRight w:val="0"/>
                      <w:marTop w:val="0"/>
                      <w:marBottom w:val="240"/>
                      <w:divBdr>
                        <w:top w:val="none" w:sz="0" w:space="0" w:color="auto"/>
                        <w:left w:val="none" w:sz="0" w:space="0" w:color="auto"/>
                        <w:bottom w:val="none" w:sz="0" w:space="0" w:color="auto"/>
                        <w:right w:val="none" w:sz="0" w:space="0" w:color="auto"/>
                      </w:divBdr>
                    </w:div>
                    <w:div w:id="1574663489">
                      <w:marLeft w:val="0"/>
                      <w:marRight w:val="0"/>
                      <w:marTop w:val="0"/>
                      <w:marBottom w:val="240"/>
                      <w:divBdr>
                        <w:top w:val="none" w:sz="0" w:space="0" w:color="auto"/>
                        <w:left w:val="none" w:sz="0" w:space="0" w:color="auto"/>
                        <w:bottom w:val="none" w:sz="0" w:space="0" w:color="auto"/>
                        <w:right w:val="none" w:sz="0" w:space="0" w:color="auto"/>
                      </w:divBdr>
                    </w:div>
                    <w:div w:id="19690417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0443870">
          <w:marLeft w:val="0"/>
          <w:marRight w:val="0"/>
          <w:marTop w:val="0"/>
          <w:marBottom w:val="0"/>
          <w:divBdr>
            <w:top w:val="none" w:sz="0" w:space="0" w:color="auto"/>
            <w:left w:val="none" w:sz="0" w:space="0" w:color="auto"/>
            <w:bottom w:val="none" w:sz="0" w:space="0" w:color="auto"/>
            <w:right w:val="none" w:sz="0" w:space="0" w:color="auto"/>
          </w:divBdr>
          <w:divsChild>
            <w:div w:id="211428114">
              <w:marLeft w:val="0"/>
              <w:marRight w:val="0"/>
              <w:marTop w:val="0"/>
              <w:marBottom w:val="0"/>
              <w:divBdr>
                <w:top w:val="none" w:sz="0" w:space="0" w:color="auto"/>
                <w:left w:val="none" w:sz="0" w:space="0" w:color="auto"/>
                <w:bottom w:val="none" w:sz="0" w:space="0" w:color="auto"/>
                <w:right w:val="none" w:sz="0" w:space="0" w:color="auto"/>
              </w:divBdr>
              <w:divsChild>
                <w:div w:id="1071002624">
                  <w:marLeft w:val="0"/>
                  <w:marRight w:val="0"/>
                  <w:marTop w:val="0"/>
                  <w:marBottom w:val="0"/>
                  <w:divBdr>
                    <w:top w:val="none" w:sz="0" w:space="0" w:color="auto"/>
                    <w:left w:val="none" w:sz="0" w:space="0" w:color="auto"/>
                    <w:bottom w:val="none" w:sz="0" w:space="0" w:color="auto"/>
                    <w:right w:val="none" w:sz="0" w:space="0" w:color="auto"/>
                  </w:divBdr>
                  <w:divsChild>
                    <w:div w:id="1015421629">
                      <w:marLeft w:val="0"/>
                      <w:marRight w:val="0"/>
                      <w:marTop w:val="0"/>
                      <w:marBottom w:val="240"/>
                      <w:divBdr>
                        <w:top w:val="none" w:sz="0" w:space="0" w:color="auto"/>
                        <w:left w:val="none" w:sz="0" w:space="0" w:color="auto"/>
                        <w:bottom w:val="none" w:sz="0" w:space="0" w:color="auto"/>
                        <w:right w:val="none" w:sz="0" w:space="0" w:color="auto"/>
                      </w:divBdr>
                    </w:div>
                    <w:div w:id="11735706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019387949">
      <w:bodyDiv w:val="1"/>
      <w:marLeft w:val="0"/>
      <w:marRight w:val="0"/>
      <w:marTop w:val="0"/>
      <w:marBottom w:val="0"/>
      <w:divBdr>
        <w:top w:val="none" w:sz="0" w:space="0" w:color="auto"/>
        <w:left w:val="none" w:sz="0" w:space="0" w:color="auto"/>
        <w:bottom w:val="none" w:sz="0" w:space="0" w:color="auto"/>
        <w:right w:val="none" w:sz="0" w:space="0" w:color="auto"/>
      </w:divBdr>
      <w:divsChild>
        <w:div w:id="1379817051">
          <w:marLeft w:val="0"/>
          <w:marRight w:val="0"/>
          <w:marTop w:val="0"/>
          <w:marBottom w:val="0"/>
          <w:divBdr>
            <w:top w:val="none" w:sz="0" w:space="0" w:color="auto"/>
            <w:left w:val="none" w:sz="0" w:space="0" w:color="auto"/>
            <w:bottom w:val="none" w:sz="0" w:space="0" w:color="auto"/>
            <w:right w:val="none" w:sz="0" w:space="0" w:color="auto"/>
          </w:divBdr>
        </w:div>
        <w:div w:id="2070181103">
          <w:marLeft w:val="0"/>
          <w:marRight w:val="0"/>
          <w:marTop w:val="0"/>
          <w:marBottom w:val="0"/>
          <w:divBdr>
            <w:top w:val="none" w:sz="0" w:space="0" w:color="auto"/>
            <w:left w:val="none" w:sz="0" w:space="0" w:color="auto"/>
            <w:bottom w:val="none" w:sz="0" w:space="0" w:color="auto"/>
            <w:right w:val="none" w:sz="0" w:space="0" w:color="auto"/>
          </w:divBdr>
        </w:div>
        <w:div w:id="251202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igsaw.vitalsource.com/books/9780133469943/epub/OPS/xhtml/fileP7000478713000000000000000007A4D.xhtml?favre=bret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1456</Words>
  <Characters>8305</Characters>
  <Application>Microsoft Office Word</Application>
  <DocSecurity>0</DocSecurity>
  <Lines>69</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2021-08-19T17:38:00Z</dcterms:created>
  <dcterms:modified xsi:type="dcterms:W3CDTF">2021-08-19T17:41:00Z</dcterms:modified>
</cp:coreProperties>
</file>